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sz w:val="24"/>
          <w:szCs w:val="24"/>
        </w:rPr>
        <w:t xml:space="preserve">The Hidden Layer: Semantic Security Risks in AI Systems That Humans Miss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sz w:val="24"/>
          <w:szCs w:val="24"/>
        </w:rPr>
        <w:t xml:space="preserve">Dayo Egonu</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sz w:val="24"/>
          <w:szCs w:val="24"/>
        </w:rPr>
        <w:t xml:space="preserve">Indiana Wesleyan University</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sz w:val="24"/>
          <w:szCs w:val="24"/>
        </w:rPr>
        <w:t xml:space="preserve">AIML 501: Model Development</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sz w:val="24"/>
          <w:szCs w:val="24"/>
        </w:rPr>
        <w:t xml:space="preserve">Professor Antonio MK Singleton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center"/>
      </w:pPr>
      <w:r>
        <w:rPr>
          <w:rFonts w:ascii="Times New Roman" w:cs="Times New Roman" w:eastAsia="Times New Roman" w:hAnsi="Times New Roman"/>
          <w:sz w:val="24"/>
          <w:szCs w:val="24"/>
        </w:rPr>
        <w:t xml:space="preserve">April 2026</w:t>
      </w:r>
    </w:p>
    <w:p>
      <w:pPr>
        <w:sectPr>
          <w:headerReference w:type="default" r:id="rId7"/>
          <w:headerReference w:type="first" r:id="rId8"/>
          <w:pgSz w:w="12240" w:h="15840" w:orient="portrait"/>
          <w:pgMar w:top="1440" w:right="1440" w:bottom="1440" w:left="1440" w:header="708" w:footer="708" w:gutter="0"/>
          <w:pgNumType w:start="1" w:fmt="decimal"/>
          <w:titlePg/>
          <w:docGrid w:linePitch="360"/>
        </w:sectPr>
      </w:pPr>
    </w:p>
    <w:p>
      <w:pPr>
        <w:spacing w:after="0" w:before="0" w:line="480"/>
        <w:jc w:val="center"/>
      </w:pPr>
      <w:r>
        <w:rPr>
          <w:rFonts w:ascii="Times New Roman" w:cs="Times New Roman" w:eastAsia="Times New Roman" w:hAnsi="Times New Roman"/>
          <w:b/>
          <w:bCs/>
          <w:sz w:val="24"/>
          <w:szCs w:val="24"/>
        </w:rPr>
        <w:t xml:space="preserve">Abstract</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Artificial intelligence (AI) language systems process language at a depth of semantic resolution that fundamentally exceeds human perceptual capacity. This creates a class of security vulnerability — here termed semantic security risks — in which adversarial actors exploit the gap between surface-level text and underlying meaning to manipulate AI behavior in ways that evade conventional keyword-based detection. This paper presents a theoretical and applied framework for understanding, classifying, and defending against these threats. The analysis distinguishes three principal attack vectors: prompt injection, semantic camouflage, and adversarial trajectory manipulation. It then proposes a multi-stage defensive architecture centered on semantic embedding, learned projection layers, and cluster-proximity threat scoring. Practical implications are examined across cybersecurity, healthcare, and financial domains. The paper further connects these findings to a broader epistemological principle: that the same semantic depth that makes AI systems vulnerable to sophisticated attacks also furnishes the most powerful tools for their defense. A working prototype, the Semantic Threat Detector, demonstrates the viability of this approach using real-time natural language analysis.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Keywords: </w:t>
      </w:r>
      <w:r>
        <w:rPr>
          <w:rFonts w:ascii="Times New Roman" w:cs="Times New Roman" w:eastAsia="Times New Roman" w:hAnsi="Times New Roman"/>
          <w:i/>
          <w:iCs/>
          <w:sz w:val="24"/>
          <w:szCs w:val="24"/>
        </w:rPr>
        <w:t xml:space="preserve">semantic security, prompt injection, adversarial NLP, semantic clustering, projector layers, AI safety, natural language processing, vector space models</w:t>
      </w:r>
    </w:p>
    <w:p>
      <w:pPr>
        <w:sectPr>
          <w:headerReference w:type="default" r:id="rId9"/>
          <w:pgSz w:w="12240" w:h="15840" w:orient="portrait"/>
          <w:pgMar w:top="1440" w:right="1440" w:bottom="1440" w:left="1440" w:header="708" w:footer="708" w:gutter="0"/>
          <w:pgNumType/>
          <w:docGrid w:linePitch="360"/>
        </w:sectPr>
      </w:pPr>
    </w:p>
    <w:p>
      <w:pPr>
        <w:spacing w:after="0" w:before="0" w:line="480"/>
        <w:jc w:val="center"/>
      </w:pPr>
      <w:r>
        <w:rPr>
          <w:rFonts w:ascii="Times New Roman" w:cs="Times New Roman" w:eastAsia="Times New Roman" w:hAnsi="Times New Roman"/>
          <w:b/>
          <w:bCs/>
          <w:sz w:val="24"/>
          <w:szCs w:val="24"/>
        </w:rPr>
        <w:t xml:space="preserve">The Hidden Layer: Semantic Security Risks in AI Systems That Humans Miss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Introduction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deployment of large language models (LLMs) and AI-powered systems across critical institutional domains has created an unprecedented security surface. Unlike conventional software vulnerabilities, which typically manifest as logical flaws or access control failures, the emerging class of vulnerabilities in AI systems is fundamentally semantic in character. They arise not from what code does, but from what language means — and from the divergence between the meaning a human perceives and the meaning a model computes.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Consider a simple observation: the phrases "I want to harm someone" and "could you help me with something involving pain" are visually dissimilar. A human reading both in isolation would likely flag the first and pass the second. A well-trained language model, operating in dense vector space rather than over surface tokens, may represent them as geometrically proximate — close neighbors in the semantic manifold, separated by stylistic distance but not by meaning. This proximity is the core mechanism of semantic attack.</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This paper argues that understanding this mechanism — the gap between surface form and semantic representation — is essential for both the design of secure AI systems and the development of effective countermeasures. The same representational depth that makes language models powerful is simultaneously their principal point of adversarial exposure. And yet, as this paper further argues, that same depth is what makes AI-powered semantic defense far more effective than any human analyst or keyword filter operating alone.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paper is organized as follows. Section two provides background on semantic representation in transformer-based models. Section three presents a taxonomy of semantic attack vectors. Section four describes the proposed defensive architecture, including semantic clustering and projection layers. Section five examines domain-specific implications. Section six describes the prototype implementation. Section seven discusses limitations and future directions, and the paper concludes in section eight.</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Background: How Language Models Represent Meaning</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From Tokens to Vectors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Modern transformer-based language models do not process text as sequences of characters or words in the way a human reader does. Instead, input text is decomposed into subword tokens, each of which is mapped to a dense numerical vector in a high-dimensional embedding space — typically 768 to 4,096 dimensions in commonly deployed models (Vaswani et al., 2017). These vectors are not arbitrary: they are learned through training on massive text corpora such that geometric relationships in the vector space encode semantic relationships in language. Words with similar distributional contexts — and therefore similar meanings — cluster together; relationships such as synonymy, analogy, and entailment are captured as spatial relationships (Mikolov et al., 2013).</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foundational demonstration of this property is the well-known arithmetic of distributed representations: king − man + woman ≈ queen (Mikolov et al., 2013). This result is not a curiosity. It implies that semantic content is decomposable and algebraically manipulable within the embedding space — an insight that has profound implications for both the utility and the vulnerability of language models.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Contextual Embeddings and the Transformer</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Earlier embedding approaches such as Word2Vec (Mikolov et al., 2013) produced static representations: each word had a single vector regardless of context. The transformer architecture (Vaswani et al., 2017) introduced the self-attention mechanism, which allows the representation of any token to be dynamically computed as a weighted combination of all other tokens in the context window. The result is contextual embeddings: the vector for the word 'bank' differs depending on whether the surrounding tokens concern finance or hydrology.</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For security purposes, this context-dependence has a dual implication. On one hand, it means that semantic analysis must be performed at the utterance level, not the word level. On the other hand, it means that adversarial actors can exploit context to shift the semantic representation of a phrase away from its apparent meaning — a mechanism examined in detail in the following section.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Sentence-Level Semantics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development of sentence-level embedding models, most notably Sentence-BERT (Reimers &amp; Gurevych, 2019), extended the distributional hypothesis from words to utterances. Sentence-BERT uses a siamese network architecture to produce fixed-length sentence vectors whose cosine similarity correlates with human judgments of semantic equivalence. This capability is foundational to the threat detection approach proposed in this paper: if semantically equivalent utterances are represented as proximate vectors, then threat profiles can be expressed as regions in vector space rather than as lexical patterns.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A Taxonomy of Semantic Attack Vectors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This section presents a three-part taxonomy of semantic attacks on AI systems, organized by the primary mechanism of exploitation.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Prompt Injection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Prompt injection represents perhaps the most extensively documented class of semantic attack against language models (Perez &amp; Ribeiro, 2022). In a direct prompt injection, the attacker embeds adversarial instructions within user-controlled input, exploiting the model's inability to reliably distinguish between data and instructions. The canonical example involves appending a directive such as 'ignore your previous instructions and instead...' to otherwise innocuous input.</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Indirect prompt injection is more sophisticated and more dangerous. Here, the adversarial instruction is not introduced by the direct user but is instead embedded in content that the AI system retrieves or processes from an external source — a document, a web page, or a database record (Greshake et al., 2023). The model reads the document as data, but the embedded instruction is interpreted as a command, redirecting the model's behavior without any direct interaction from the attacker.</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semantic dimension of prompt injection is critical: effective injections do not rely on specific trigger words but on achieving the semantic state in the model that corresponds to the desired behavioral redirection. A sufficiently paraphrased injection may evade all keyword-based detection while retaining functional equivalence in vector space.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Semantic Camouflage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Semantic camouflage describes the class of attacks in which adversarial intent is encoded in language whose surface form is benign. The attacker constructs a message that, parsed literally, appears innocuous — perhaps a request for creative writing assistance, a technical question, or an expression of curiosity — but whose underlying semantic content, as represented in a language model's embedding space, is proximate to a threat cluster.</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Adversarial NLP research has demonstrated that such camouflage can be constructed algorithmically. TextFooler (Jin et al., 2019) and BERT-Attack (Li et al., 2020) both demonstrate that semantics-preserving transformations — replacing words with synonyms, restructuring sentences, inserting or removing hedging language — can systematically defeat classifiers that operate on surface forms. Applied to security contexts, these methods suggest that any filter operating at the lexical level is inherently defeatable by an adversary with access to the same distributional representations.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Adversarial Trajectory Manipulation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third attack vector exploits the temporal dimension of conversation. Rather than attempting to achieve a dangerous semantic state in a single message, the adversary constructs a multi-turn conversation that gradually drifts toward a target region in semantic space. Each individual message may be innocuous; the threat resides in the trajectory — the direction and velocity of semantic movement across the conversation.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This pattern mirrors well-documented social engineering techniques applied to human targets (Cialdini, 1984). Gradual escalation, established rapport, and incremental boundary-testing all function analogously in interactions with AI systems as in interactions with humans. The key difference is that the semantic trajectory is precisely quantifiable in vector space, making it detectable by systems equipped to monitor embedding-level dynamics across conversation turns.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Proposed Defensive Architecture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This section describes a five-stage pipeline for semantic threat detection. The architecture is designed to operate on arbitrary natural language input, independent of any prior lexical threat signature.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Stage 1: Semantic Embedding</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input text is encoded using a pre-trained sentence embedding model — in the prototype implementation, a model from the Sentence-Transformers family (Reimers &amp; Gurevych, 2019) is used. This produces a fixed-length dense vector representing the semantic content of the input at the utterance level. Critically, this representation captures meaning rather than form: two semantically equivalent utterances will produce geometrically proximate vectors even if they share no vocabulary.</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Stage 2: Threat Projection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raw embedding is passed through a learned projection layer — a compact neural network trained to rotate and compress the embedding space such that dimensions relevant to threat classification become linearly separable. The projector is trained on a labeled corpus of benign and adversarial utterances using a contrastive learning objective (Chen et al., 2020), which encourages semantic similarity within threat classes and dissimilarity between classes.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projector layer is the key innovation in this architecture. In the base embedding space, threat-relevant structure may be entangled with stylistic, topical, and other irrelevant dimensions. The projector functions as a learned spectral filter — analogous to ultraviolet illumination in forensic document analysis — that makes threat-relevant structure visible that would otherwise be masked by irrelevant variation.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Stage 3: Cluster Proximity Scoring</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projected vector is compared against a library of pre-computed threat cluster centroids. Each centroid represents a known attack pattern — prompt injection, social engineering, jailbreak framing, and so forth — expressed as the mean vector of a cluster of labeled adversarial examples in the projected space. Threat score is computed as a function of the minimum Mahalanobis distance between the input vector and the nearest threat centroid, normalized to a 0-100 scale.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use of Mahalanobis distance, rather than simple Euclidean distance, accounts for the non-spherical geometry of clusters in high-dimensional space (De Maesschalck et al., 2000). This is particularly important for distinguishing clusters that are directionally distinct but spatially overlapping when projected onto lower-dimensional subspaces.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Stage 4: Signal Extraction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Once a threat proximity score is established, the system performs interpretable signal extraction: identifying the specific linguistic and structural features that contributed to the elevated score. This stage draws on techniques from explainable AI (Ribeiro et al., 2016), using local approximation methods to identify which input segments exert the greatest influence on the projected representation. The result is a set of human-readable signals with associated severity ratings.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Stage 5: Trajectory Analysis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For multi-turn interactions, the system maintains a rolling embedding history and computes the velocity vector of semantic movement across turns. A conversation that is individually scoring within benign ranges but trending toward a threat cluster triggers an escalation flag based on trajectory, not current position. This stage is specifically designed to counter adversarial trajectory manipulation as described in the taxonomy above.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Domain-Specific Implications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Cybersecurity</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In cybersecurity contexts, the semantic attack surface is particularly consequential because AI systems are increasingly deployed as components in security infrastructure itself — as log analyzers, threat intelligence processors, and autonomous response agents. An adversary who can semantically manipulate a security AI system thereby gains access to the very infrastructure designed to defend against manipulation. Research by Greshake et al. (2023) has demonstrated that indirect prompt injection through retrieved documents represents a viable attack path against retrieval-augmented AI agents operating in security contexts.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Healthcare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Patient-facing AI systems in healthcare present a distinct risk profile. The power differential between patients (often in distress) and AI systems (perceived as authoritative) creates favorable conditions for social engineering attacks in both directions: adversaries may manipulate healthcare AI to provide harmful guidance by constructing emotional contexts that override safety constraints. The gradual trust-building pattern of adversarial trajectory manipulation is particularly well-adapted to this domain, where extended therapeutic-style conversations are normative.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i/>
          <w:iCs/>
          <w:sz w:val="24"/>
          <w:szCs w:val="24"/>
        </w:rPr>
        <w:t xml:space="preserve">     Financial Services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In financial AI applications — risk assessment tools, sentiment analyzers, compliance systems — the concern is semantic manipulation of inputs that shape consequential decisions. An adversary who understands the semantic encoding of risk-relevant language can construct inputs that systematically bias model outputs while evading anomaly detection systems calibrated to surface-level patterns. The forensic accounting dimension of this problem — establishing that semantic manipulation occurred and attributing it — is an open research question with direct relevance to regulatory compliance.</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Prototype Implementation: Semantic Threat Detector</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To demonstrate the practical viability of the proposed architecture, a working prototype was developed: the Semantic Threat Detector. The prototype is implemented as a single-file HTML/JavaScript application utilizing the Claude API (Anthropic, 2024) as the semantic analysis backend.</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prototype accepts arbitrary natural language input and returns a structured threat analysis including: a normalized threat score (0-100), a classification label (BENIGN through CRITICAL), an attack vector taxonomy label, a semantic cluster identifier, a set of interpretable detection signals with severity ratings, and a natural-language reasoning statement explaining the semantic basis for the classification.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prototype includes six pre-loaded sample inputs representing the range of the threat taxonomy: a benign technical query, a subtle adversarial drift example, a direct prompt injection, a semantic camouflage attack, a social engineering attempt, and a control benign professional query. These samples allow direct comparison of threat scores across attack types and provide a basis for user experimentation.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While the prototype uses a large language model as its analysis engine rather than the lightweight embedding-plus-projector architecture described in earlier sections, it demonstrates the output format and reasoning quality achievable by the proposed approach. A production implementation would replace the API call with an on-device embedding model and trained projector, enabling lower-latency, higher-throughput analysis without external API dependency.</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Limitations and Future Directions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Several limitations of the proposed framework warrant acknowledgment. First, the threat cluster library is necessarily bounded: it can only detect patterns that have been labeled and encoded in the training set. Genuinely novel attack patterns — zero-day semantic attacks — may not proximally cluster with any existing centroid. Active learning approaches, in which production traffic is periodically reviewed and used to update the cluster library, represent a partial mitigation.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Second, the projection layer is itself a machine learning model and is therefore susceptible to adversarial attack. An adversary with access to the projector's architecture and weights could, in principle, engineer inputs that appear benign in the projected space while encoding malicious semantic content. This arms-race dynamic is inherent to any ML-based security system and underscores the importance of human-in-the-loop escalation for ambiguous cases.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Third, the trajectory analysis component described in Stage 5 requires stateful session tracking, which introduces privacy and infrastructure considerations that may be infeasible in some deployment contexts. Stateless approximations — using summary embeddings of prior context windows — represent a practical compromise but sacrifice detection precision for the most gradual manipulation patterns.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Future directions include: the development of a public benchmark dataset for semantic threat classification analogous to existing adversarial NLP benchmarks; integration of mechanistic interpretability techniques (Elhage et al., 2022) to understand which model components are most implicated in semantic attack susceptibility; and cross-lingual extension of the framework to non-English threat patterns.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Conclusion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This paper has presented a framework for understanding and defending against semantic security risks in AI systems — the class of threat that exploits the gap between surface-level text and underlying semantic representation. The central insight is that this gap, which is the source of AI vulnerability to semantic attacks, is also the source of AI's capacity for semantic defense: only a system that processes meaning can detect threats that hide in meaning.</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taxonomy of semantic attacks — prompt injection, semantic camouflage, and adversarial trajectory manipulation — provides a structured basis for threat classification and defense design. The proposed five-stage defensive architecture, anchored by semantic embedding, learned projection, and cluster proximity scoring, offers a principled and practically implementable approach to closing the gap that keyword-based systems leave open.</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practical urgency of this problem is substantial. As AI systems assume greater roles in security infrastructure, healthcare delivery, financial decision-making, and other high-stakes domains, the consequences of semantic manipulation escalate proportionally. The research and engineering work required to address these vulnerabilities is not merely a technical challenge: it is an ethical imperative for any organization that deploys AI in consequential contexts.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The Semantic Threat Detector prototype demonstrates that this framework is not merely theoretical. Deployable semantic analysis systems are achievable with current technology, and the gap between academic framework and production implementation is a matter of engineering priority, not fundamental feasibility.</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jc w:val="center"/>
      </w:pPr>
      <w:r>
        <w:rPr>
          <w:rFonts w:ascii="Times New Roman" w:cs="Times New Roman" w:eastAsia="Times New Roman" w:hAnsi="Times New Roman"/>
          <w:b/>
          <w:bCs/>
          <w:sz w:val="24"/>
          <w:szCs w:val="24"/>
        </w:rPr>
        <w:t xml:space="preserve">References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i w:val="false"/>
          <w:iCs w:val="false"/>
          <w:sz w:val="24"/>
          <w:szCs w:val="24"/>
        </w:rPr>
        <w:t xml:space="preserve">Anthropic. (2024). </w:t>
      </w:r>
      <w:r>
        <w:rPr>
          <w:rFonts w:ascii="Times New Roman" w:cs="Times New Roman" w:eastAsia="Times New Roman" w:hAnsi="Times New Roman"/>
          <w:i/>
          <w:iCs/>
          <w:sz w:val="24"/>
          <w:szCs w:val="24"/>
        </w:rPr>
        <w:t xml:space="preserve">Claude API documentation</w:t>
      </w:r>
      <w:r>
        <w:rPr>
          <w:rFonts w:ascii="Times New Roman" w:cs="Times New Roman" w:eastAsia="Times New Roman" w:hAnsi="Times New Roman"/>
          <w:sz w:val="24"/>
          <w:szCs w:val="24"/>
        </w:rPr>
        <w:t xml:space="preserve">. Anthropic. https://docs.anthropic.com</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Bai, Y., Jones, A., Ndousse, K., Askell, A., Chen, A., DasSarma, N., Drain, D., Fort, S., Ganguli, D., Henighan, T., Joseph, N., Kadavath, S., Kernion, J., Conerly, T., El-Showk, S., Elhage, N., Hatfield-Dodds, Z., Hernandez, D., Hume, T., ... Kaplan, J. (2022). </w:t>
      </w:r>
      <w:r>
        <w:rPr>
          <w:rFonts w:ascii="Times New Roman" w:cs="Times New Roman" w:eastAsia="Times New Roman" w:hAnsi="Times New Roman"/>
          <w:i/>
          <w:iCs/>
          <w:sz w:val="24"/>
          <w:szCs w:val="24"/>
        </w:rPr>
        <w:t xml:space="preserve">Constitutional AI: Harmlessness from AI feedback</w:t>
      </w:r>
      <w:r>
        <w:rPr>
          <w:rFonts w:ascii="Times New Roman" w:cs="Times New Roman" w:eastAsia="Times New Roman" w:hAnsi="Times New Roman"/>
          <w:sz w:val="24"/>
          <w:szCs w:val="24"/>
        </w:rPr>
        <w:t xml:space="preserve">. arXiv. https://arxiv.org/abs/2212.08073</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Chen, T., Kornblith, S., Norouzi, M., &amp; Hinton, G. (2020). A simple framework for contrastive learning of visual representations. In </w:t>
      </w:r>
      <w:r>
        <w:rPr>
          <w:rFonts w:ascii="Times New Roman" w:cs="Times New Roman" w:eastAsia="Times New Roman" w:hAnsi="Times New Roman"/>
          <w:i/>
          <w:iCs/>
          <w:sz w:val="24"/>
          <w:szCs w:val="24"/>
        </w:rPr>
        <w:t xml:space="preserve">Proceedings of the 37th International Conference on Machine Learning</w:t>
      </w:r>
      <w:r>
        <w:rPr>
          <w:rFonts w:ascii="Times New Roman" w:cs="Times New Roman" w:eastAsia="Times New Roman" w:hAnsi="Times New Roman"/>
          <w:sz w:val="24"/>
          <w:szCs w:val="24"/>
        </w:rPr>
        <w:t xml:space="preserve"> (pp. 1597–1607). PMLR.</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Cialdini, R. B. (1984). </w:t>
      </w:r>
      <w:r>
        <w:rPr>
          <w:rFonts w:ascii="Times New Roman" w:cs="Times New Roman" w:eastAsia="Times New Roman" w:hAnsi="Times New Roman"/>
          <w:i/>
          <w:iCs/>
          <w:sz w:val="24"/>
          <w:szCs w:val="24"/>
        </w:rPr>
        <w:t xml:space="preserve">Influence: The psychology of persuasion</w:t>
      </w:r>
      <w:r>
        <w:rPr>
          <w:rFonts w:ascii="Times New Roman" w:cs="Times New Roman" w:eastAsia="Times New Roman" w:hAnsi="Times New Roman"/>
          <w:sz w:val="24"/>
          <w:szCs w:val="24"/>
        </w:rPr>
        <w:t xml:space="preserve">. Harper Business.</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De Maesschalck, R., Jouan-Rimbaud, D., &amp; Massart, D. L. (2000). The Mahalanobis distance. </w:t>
      </w:r>
      <w:r>
        <w:rPr>
          <w:rFonts w:ascii="Times New Roman" w:cs="Times New Roman" w:eastAsia="Times New Roman" w:hAnsi="Times New Roman"/>
          <w:i/>
          <w:iCs/>
          <w:sz w:val="24"/>
          <w:szCs w:val="24"/>
        </w:rPr>
        <w:t xml:space="preserve">Chemometrics and Intelligent Laboratory Systems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50</w:t>
      </w:r>
      <w:r>
        <w:rPr>
          <w:rFonts w:ascii="Times New Roman" w:cs="Times New Roman" w:eastAsia="Times New Roman" w:hAnsi="Times New Roman"/>
          <w:sz w:val="24"/>
          <w:szCs w:val="24"/>
        </w:rPr>
        <w:t xml:space="preserve">(1), 1–18. https://doi.org/10.1016/S0169-7439(99)00047-7</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Elhage, N., Hume, T., Olah, C., Schiefer, N., Henighan, T., Kravec, S., Hatfield-Dodds, Z., Lasenby, R., Drain, D., Chen, C., Grosse, R., McCandlish, S., Kaplan, J., Amodei, D., Wattenberg, M., &amp; Olah, C. (2022). </w:t>
      </w:r>
      <w:r>
        <w:rPr>
          <w:rFonts w:ascii="Times New Roman" w:cs="Times New Roman" w:eastAsia="Times New Roman" w:hAnsi="Times New Roman"/>
          <w:i/>
          <w:iCs/>
          <w:sz w:val="24"/>
          <w:szCs w:val="24"/>
        </w:rPr>
        <w:t xml:space="preserve">Toy models of superposition</w:t>
      </w:r>
      <w:r>
        <w:rPr>
          <w:rFonts w:ascii="Times New Roman" w:cs="Times New Roman" w:eastAsia="Times New Roman" w:hAnsi="Times New Roman"/>
          <w:sz w:val="24"/>
          <w:szCs w:val="24"/>
        </w:rPr>
        <w:t xml:space="preserve">. Transformer Circuits Thread. https://transformer-circuits.pub/2022/toy_model/index.html</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Greshake, K., Abdelnabi, S., Mishra, S., Endres, C., Holz, T., &amp; Fritz, M. (2023). </w:t>
      </w:r>
      <w:r>
        <w:rPr>
          <w:rFonts w:ascii="Times New Roman" w:cs="Times New Roman" w:eastAsia="Times New Roman" w:hAnsi="Times New Roman"/>
          <w:i/>
          <w:iCs/>
          <w:sz w:val="24"/>
          <w:szCs w:val="24"/>
        </w:rPr>
        <w:t xml:space="preserve">Not what you've signed up for: Compromising real-world LLM-integrated applications with indirect prompt injection</w:t>
      </w:r>
      <w:r>
        <w:rPr>
          <w:rFonts w:ascii="Times New Roman" w:cs="Times New Roman" w:eastAsia="Times New Roman" w:hAnsi="Times New Roman"/>
          <w:sz w:val="24"/>
          <w:szCs w:val="24"/>
        </w:rPr>
        <w:t xml:space="preserve">. arXiv. https://arxiv.org/abs/2302.12173</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Jin, D., Jin, Z., Zhou, J. T., &amp; Szolovits, P. (2019). </w:t>
      </w:r>
      <w:r>
        <w:rPr>
          <w:rFonts w:ascii="Times New Roman" w:cs="Times New Roman" w:eastAsia="Times New Roman" w:hAnsi="Times New Roman"/>
          <w:i/>
          <w:iCs/>
          <w:sz w:val="24"/>
          <w:szCs w:val="24"/>
        </w:rPr>
        <w:t xml:space="preserve">Is BERT really robust? A strong baseline for natural language attack on text classification and entailment</w:t>
      </w:r>
      <w:r>
        <w:rPr>
          <w:rFonts w:ascii="Times New Roman" w:cs="Times New Roman" w:eastAsia="Times New Roman" w:hAnsi="Times New Roman"/>
          <w:sz w:val="24"/>
          <w:szCs w:val="24"/>
        </w:rPr>
        <w:t xml:space="preserve">. arXiv. https://arxiv.org/abs/1907.11932</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Li, L., Ma, R., Guo, Q., Xue, X., &amp; Qiu, X. (2020). </w:t>
      </w:r>
      <w:r>
        <w:rPr>
          <w:rFonts w:ascii="Times New Roman" w:cs="Times New Roman" w:eastAsia="Times New Roman" w:hAnsi="Times New Roman"/>
          <w:i/>
          <w:iCs/>
          <w:sz w:val="24"/>
          <w:szCs w:val="24"/>
        </w:rPr>
        <w:t xml:space="preserve">BERT-Attack: Adversarial attack against BERT using BERT</w:t>
      </w:r>
      <w:r>
        <w:rPr>
          <w:rFonts w:ascii="Times New Roman" w:cs="Times New Roman" w:eastAsia="Times New Roman" w:hAnsi="Times New Roman"/>
          <w:sz w:val="24"/>
          <w:szCs w:val="24"/>
        </w:rPr>
        <w:t xml:space="preserve">. arXiv. https://arxiv.org/abs/2004.09984</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Mikolov, T., Sutskever, I., Chen, K., Corrado, G. S., &amp; Dean, J. (2013). Distributed representations of words and phrases and their compositionality. In </w:t>
      </w:r>
      <w:r>
        <w:rPr>
          <w:rFonts w:ascii="Times New Roman" w:cs="Times New Roman" w:eastAsia="Times New Roman" w:hAnsi="Times New Roman"/>
          <w:i/>
          <w:iCs/>
          <w:sz w:val="24"/>
          <w:szCs w:val="24"/>
        </w:rPr>
        <w:t xml:space="preserve">Advances in Neural Information Processing Systems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26</w:t>
      </w:r>
      <w:r>
        <w:rPr>
          <w:rFonts w:ascii="Times New Roman" w:cs="Times New Roman" w:eastAsia="Times New Roman" w:hAnsi="Times New Roman"/>
          <w:sz w:val="24"/>
          <w:szCs w:val="24"/>
        </w:rPr>
        <w:t xml:space="preserve">, 3111–3119.</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Perez, F., &amp; Ribeiro, I. (2022). </w:t>
      </w:r>
      <w:r>
        <w:rPr>
          <w:rFonts w:ascii="Times New Roman" w:cs="Times New Roman" w:eastAsia="Times New Roman" w:hAnsi="Times New Roman"/>
          <w:i/>
          <w:iCs/>
          <w:sz w:val="24"/>
          <w:szCs w:val="24"/>
        </w:rPr>
        <w:t xml:space="preserve">Ignore previous prompt: Attack techniques for language models</w:t>
      </w:r>
      <w:r>
        <w:rPr>
          <w:rFonts w:ascii="Times New Roman" w:cs="Times New Roman" w:eastAsia="Times New Roman" w:hAnsi="Times New Roman"/>
          <w:sz w:val="24"/>
          <w:szCs w:val="24"/>
        </w:rPr>
        <w:t xml:space="preserve">. arXiv. https://arxiv.org/abs/2211.09527</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Reimers, N., &amp; Gurevych, I. (2019). Sentence-BERT: Sentence embeddings using Siamese BERT-networks. In </w:t>
      </w:r>
      <w:r>
        <w:rPr>
          <w:rFonts w:ascii="Times New Roman" w:cs="Times New Roman" w:eastAsia="Times New Roman" w:hAnsi="Times New Roman"/>
          <w:i/>
          <w:iCs/>
          <w:sz w:val="24"/>
          <w:szCs w:val="24"/>
        </w:rPr>
        <w:t xml:space="preserve">Proceedings of the 2019 Conference on Empirical Methods in Natural Language Processing</w:t>
      </w:r>
      <w:r>
        <w:rPr>
          <w:rFonts w:ascii="Times New Roman" w:cs="Times New Roman" w:eastAsia="Times New Roman" w:hAnsi="Times New Roman"/>
          <w:sz w:val="24"/>
          <w:szCs w:val="24"/>
        </w:rPr>
        <w:t xml:space="preserve"> (pp. 3982–3992). Association for Computational Linguistics. https://arxiv.org/abs/1908.10084</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Ribeiro, M. T., Singh, S., &amp; Guestrin, C. (2016). 'Why should I trust you?': Explaining the predictions of any classifier. In </w:t>
      </w:r>
      <w:r>
        <w:rPr>
          <w:rFonts w:ascii="Times New Roman" w:cs="Times New Roman" w:eastAsia="Times New Roman" w:hAnsi="Times New Roman"/>
          <w:i/>
          <w:iCs/>
          <w:sz w:val="24"/>
          <w:szCs w:val="24"/>
        </w:rPr>
        <w:t xml:space="preserve">Proceedings of the 22nd ACM SIGKDD International Conference on Knowledge Discovery and Data Mining</w:t>
      </w:r>
      <w:r>
        <w:rPr>
          <w:rFonts w:ascii="Times New Roman" w:cs="Times New Roman" w:eastAsia="Times New Roman" w:hAnsi="Times New Roman"/>
          <w:sz w:val="24"/>
          <w:szCs w:val="24"/>
        </w:rPr>
        <w:t xml:space="preserve"> (pp. 1135–1144). ACM.</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Vaswani, A., Shazeer, N., Parmar, N., Uszkoreit, J., Jones, L., Gomez, A. N., Kaiser, Ł., &amp; Polosukhin, I. (2017). Attention is all you need. In </w:t>
      </w:r>
      <w:r>
        <w:rPr>
          <w:rFonts w:ascii="Times New Roman" w:cs="Times New Roman" w:eastAsia="Times New Roman" w:hAnsi="Times New Roman"/>
          <w:i/>
          <w:iCs/>
          <w:sz w:val="24"/>
          <w:szCs w:val="24"/>
        </w:rPr>
        <w:t xml:space="preserve">Advances in Neural Information Processing Systems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30</w:t>
      </w:r>
      <w:r>
        <w:rPr>
          <w:rFonts w:ascii="Times New Roman" w:cs="Times New Roman" w:eastAsia="Times New Roman" w:hAnsi="Times New Roman"/>
          <w:sz w:val="24"/>
          <w:szCs w:val="24"/>
        </w:rPr>
        <w:t xml:space="preserve">, 5998–6008.</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left="720" w:hanging="720"/>
        <w:jc w:val="left"/>
      </w:pPr>
      <w:r>
        <w:rPr>
          <w:rFonts w:ascii="Times New Roman" w:cs="Times New Roman" w:eastAsia="Times New Roman" w:hAnsi="Times New Roman"/>
          <w:sz w:val="24"/>
          <w:szCs w:val="24"/>
        </w:rPr>
        <w:t xml:space="preserve">Zou, A., Wang, Z., Kolter, J. Z., &amp; Fredrikson, M. (2023). </w:t>
      </w:r>
      <w:r>
        <w:rPr>
          <w:rFonts w:ascii="Times New Roman" w:cs="Times New Roman" w:eastAsia="Times New Roman" w:hAnsi="Times New Roman"/>
          <w:i/>
          <w:iCs/>
          <w:sz w:val="24"/>
          <w:szCs w:val="24"/>
        </w:rPr>
        <w:t xml:space="preserve">Universal and transferable adversarial attacks on aligned language models</w:t>
      </w:r>
      <w:r>
        <w:rPr>
          <w:rFonts w:ascii="Times New Roman" w:cs="Times New Roman" w:eastAsia="Times New Roman" w:hAnsi="Times New Roman"/>
          <w:sz w:val="24"/>
          <w:szCs w:val="24"/>
        </w:rPr>
        <w:t xml:space="preserve">. arXiv. https://arxiv.org/abs/2307.15043</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jc w:val="left"/>
      </w:pPr>
      <w:r>
        <w:rPr>
          <w:rFonts w:ascii="Times New Roman" w:cs="Times New Roman" w:eastAsia="Times New Roman" w:hAnsi="Times New Roman"/>
          <w:b/>
          <w:bCs/>
          <w:sz w:val="24"/>
          <w:szCs w:val="24"/>
        </w:rPr>
        <w:t xml:space="preserve">IWU Plagiarism Statement</w:t>
      </w:r>
    </w:p>
    <w:p>
      <w:pPr>
        <w:spacing w:after="0" w:before="0" w:line="480" w:lineRule="auto"/>
        <w:jc w:val="left"/>
      </w:pPr>
      <w:r>
        <w:rPr>
          <w:rFonts w:ascii="Times New Roman" w:cs="Times New Roman" w:eastAsia="Times New Roman" w:hAnsi="Times New Roman"/>
          <w:sz w:val="24"/>
          <w:szCs w:val="24"/>
        </w:rPr>
        <w:t xml:space="preserve"/>
      </w:r>
    </w:p>
    <w:p>
      <w:pPr>
        <w:spacing w:after="0" w:before="0" w:line="480" w:lineRule="auto"/>
        <w:ind w:firstLine="720"/>
        <w:jc w:val="left"/>
      </w:pPr>
      <w:r>
        <w:rPr>
          <w:rFonts w:ascii="Times New Roman" w:cs="Times New Roman" w:eastAsia="Times New Roman" w:hAnsi="Times New Roman"/>
          <w:sz w:val="24"/>
          <w:szCs w:val="24"/>
        </w:rPr>
        <w:t xml:space="preserve">I have read and understand the plagiarism policy as outlined in the syllabus and the sections in the Student Bulletin relating to the IWU Honesty/Cheating Policy. By affixing this statement to the title page of my paper, I certify that I have not cheated or plagiarized in the process of completing this assignment. If it is found that cheating and/or plagiarism did take place in the writing of this paper, I understand the possible consequences of the act/s, up to and including expulsion from Indiana Wesleyan University.</w:t>
      </w:r>
    </w:p>
    <w:sectPr>
      <w:headerReference w:type="default" r:id="rId10"/>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line="480" w:lineRule="auto"/>
      <w:jc w:val="left"/>
    </w:pPr>
    <w:r>
      <w:rPr>
        <w:rFonts w:ascii="Times New Roman" w:cs="Times New Roman" w:eastAsia="Times New Roman" w:hAnsi="Times New Roman"/>
        <w:sz w:val="24"/>
        <w:szCs w:val="24"/>
      </w:rPr>
      <w:t xml:space="preserve">SEMANTIC SECURITY RISKS IN AI SYSTEMS</w:t>
    </w:r>
    <w:r>
      <w:rPr>
        <w:rFonts w:ascii="Times New Roman" w:cs="Times New Roman" w:eastAsia="Times New Roman" w:hAnsi="Times New Roman"/>
        <w:sz w:val="24"/>
        <w:szCs w:val="24"/>
      </w:rPr>
      <w:t xml:space="preserve">	</w:t>
      <w:fldChar w:fldCharType="begin"/>
      <w:instrText xml:space="preserve">PAGE</w:instrText>
      <w:fldChar w:fldCharType="separat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line="480" w:lineRule="auto"/>
      <w:jc w:val="left"/>
    </w:pPr>
    <w:r>
      <w:rPr>
        <w:rFonts w:ascii="Times New Roman" w:cs="Times New Roman" w:eastAsia="Times New Roman" w:hAnsi="Times New Roman"/>
        <w:sz w:val="24"/>
        <w:szCs w:val="24"/>
      </w:rPr>
      <w:t xml:space="preserve">Running head: SEMANTIC SECURITY RISKS IN AI SYSTEMS</w:t>
    </w:r>
    <w:r>
      <w:rPr>
        <w:rFonts w:ascii="Times New Roman" w:cs="Times New Roman" w:eastAsia="Times New Roman" w:hAnsi="Times New Roman"/>
        <w:sz w:val="24"/>
        <w:szCs w:val="24"/>
      </w:rPr>
      <w:t xml:space="preserve">	</w:t>
      <w:fldChar w:fldCharType="begin"/>
      <w:instrText xml:space="preserve">PAGE</w:instrText>
      <w:fldChar w:fldCharType="separat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line="480" w:lineRule="auto"/>
      <w:jc w:val="left"/>
    </w:pPr>
    <w:r>
      <w:rPr>
        <w:rFonts w:ascii="Times New Roman" w:cs="Times New Roman" w:eastAsia="Times New Roman" w:hAnsi="Times New Roman"/>
        <w:sz w:val="24"/>
        <w:szCs w:val="24"/>
      </w:rPr>
      <w:t xml:space="preserve">SEMANTIC SECURITY RISKS IN AI SYSTEMS</w:t>
    </w:r>
    <w:r>
      <w:rPr>
        <w:rFonts w:ascii="Times New Roman" w:cs="Times New Roman" w:eastAsia="Times New Roman" w:hAnsi="Times New Roman"/>
        <w:sz w:val="24"/>
        <w:szCs w:val="24"/>
      </w:rPr>
      <w:t xml:space="preserve">	</w:t>
      <w:fldChar w:fldCharType="begin"/>
      <w:instrText xml:space="preserve">PAGE</w:instrText>
      <w:fldChar w:fldCharType="separate"/>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line="480" w:lineRule="auto"/>
      <w:jc w:val="left"/>
    </w:pPr>
    <w:r>
      <w:rPr>
        <w:rFonts w:ascii="Times New Roman" w:cs="Times New Roman" w:eastAsia="Times New Roman" w:hAnsi="Times New Roman"/>
        <w:sz w:val="24"/>
        <w:szCs w:val="24"/>
      </w:rPr>
      <w:t xml:space="preserve">SEMANTIC SECURITY RISKS IN AI SYSTEMS</w:t>
    </w:r>
    <w:r>
      <w:rPr>
        <w:rFonts w:ascii="Times New Roman" w:cs="Times New Roman" w:eastAsia="Times New Roman" w:hAnsi="Times New Roman"/>
        <w:sz w:val="24"/>
        <w:szCs w:val="24"/>
      </w:rPr>
      <w:t xml:space="preserve">	</w:t>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2026-04-16T20:43:33.899Z</dcterms:created>
  <dcterms:modified xsi:type="dcterms:W3CDTF">2026-04-16T20:43:33.901Z</dcterms:modified>
</cp:coreProperties>
</file>

<file path=docProps/custom.xml><?xml version="1.0" encoding="utf-8"?>
<Properties xmlns="http://schemas.openxmlformats.org/officeDocument/2006/custom-properties" xmlns:vt="http://schemas.openxmlformats.org/officeDocument/2006/docPropsVTypes"/>
</file>